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264986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264986" w:rsidRPr="000162E0" w:rsidRDefault="00264986" w:rsidP="00264986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264986" w:rsidRPr="000162E0" w:rsidRDefault="00264986" w:rsidP="00264986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4075FE41" w14:textId="77777777" w:rsidR="00264986" w:rsidRPr="00C40AF4" w:rsidRDefault="00264986" w:rsidP="00264986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C40AF4">
                    <w:rPr>
                      <w:b/>
                      <w:sz w:val="22"/>
                      <w:szCs w:val="22"/>
                    </w:rPr>
                    <w:t>Шафа</w:t>
                  </w:r>
                  <w:proofErr w:type="spellEnd"/>
                  <w:r w:rsidRPr="00C40AF4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40AF4">
                    <w:rPr>
                      <w:b/>
                      <w:sz w:val="22"/>
                      <w:szCs w:val="22"/>
                    </w:rPr>
                    <w:t>низька</w:t>
                  </w:r>
                  <w:proofErr w:type="spellEnd"/>
                  <w:r w:rsidRPr="00C40AF4">
                    <w:rPr>
                      <w:b/>
                      <w:sz w:val="22"/>
                      <w:szCs w:val="22"/>
                    </w:rPr>
                    <w:t xml:space="preserve"> 3-дверна з 2-ма </w:t>
                  </w:r>
                  <w:proofErr w:type="spellStart"/>
                  <w:r w:rsidRPr="00C40AF4">
                    <w:rPr>
                      <w:b/>
                      <w:sz w:val="22"/>
                      <w:szCs w:val="22"/>
                    </w:rPr>
                    <w:t>шухлядами</w:t>
                  </w:r>
                  <w:proofErr w:type="spellEnd"/>
                  <w:r w:rsidRPr="00C40AF4">
                    <w:rPr>
                      <w:b/>
                      <w:sz w:val="22"/>
                      <w:szCs w:val="22"/>
                    </w:rPr>
                    <w:t> </w:t>
                  </w:r>
                </w:p>
                <w:p w14:paraId="0AEB25BA" w14:textId="09A7D8A9" w:rsidR="00264986" w:rsidRPr="000162E0" w:rsidRDefault="00264986" w:rsidP="0026498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 w:rsidRPr="00C40AF4">
                    <w:rPr>
                      <w:noProof/>
                      <w:sz w:val="22"/>
                      <w:szCs w:val="22"/>
                      <w:lang w:val="uk-UA" w:eastAsia="uk-UA"/>
                    </w:rPr>
                    <w:drawing>
                      <wp:inline distT="0" distB="0" distL="0" distR="0" wp14:anchorId="072F8518" wp14:editId="451197F3">
                        <wp:extent cx="1661160" cy="1257300"/>
                        <wp:effectExtent l="0" t="0" r="0" b="0"/>
                        <wp:docPr id="32" name="Рисунок 32" descr="Z:\Foto разное\Шафи\6612_bapdu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Z:\Foto разное\Шафи\6612_bapdu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431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7845" cy="1262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EFF21E3" w14:textId="77777777" w:rsidR="00264986" w:rsidRDefault="00264986" w:rsidP="0026498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Найменування</w:t>
                  </w:r>
                  <w:proofErr w:type="spellEnd"/>
                  <w:r>
                    <w:rPr>
                      <w:rStyle w:val="af3"/>
                    </w:rPr>
                    <w:t>:</w:t>
                  </w:r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корпусна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низька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тридверна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висувними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шухлядами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відкритими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полицями</w:t>
                  </w:r>
                  <w:proofErr w:type="spellEnd"/>
                  <w:r>
                    <w:t xml:space="preserve"> та фасадом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ЛДСП</w:t>
                  </w:r>
                </w:p>
                <w:p w14:paraId="2CC3EEC9" w14:textId="77777777" w:rsidR="00264986" w:rsidRDefault="00264986" w:rsidP="0026498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1059 × 405 × 1087 мм.</w:t>
                  </w:r>
                </w:p>
                <w:p w14:paraId="73AC6F61" w14:textId="77777777" w:rsidR="00264986" w:rsidRDefault="00264986" w:rsidP="0026498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три </w:t>
                  </w:r>
                  <w:proofErr w:type="spellStart"/>
                  <w:r>
                    <w:t>дверцята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дві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висувні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шухляди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напрямних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висування</w:t>
                  </w:r>
                  <w:proofErr w:type="spellEnd"/>
                  <w:r>
                    <w:t xml:space="preserve"> та три </w:t>
                  </w:r>
                  <w:proofErr w:type="spellStart"/>
                  <w:r>
                    <w:t>відкриті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. Корпус,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шухляди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дверцята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виготовляються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деревинно-стружкової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плити</w:t>
                  </w:r>
                  <w:proofErr w:type="spellEnd"/>
                  <w:r>
                    <w:t xml:space="preserve"> (ЛДСП)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мм. </w:t>
                  </w:r>
                  <w:proofErr w:type="spellStart"/>
                  <w:r>
                    <w:t>Фасади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облицьовуються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крайковою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0,8 мм, </w:t>
                  </w:r>
                  <w:proofErr w:type="spellStart"/>
                  <w:r>
                    <w:t>інші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частини</w:t>
                  </w:r>
                  <w:proofErr w:type="spellEnd"/>
                  <w:r>
                    <w:t xml:space="preserve"> корпусу —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0,4 мм. </w:t>
                  </w: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 xml:space="preserve"> та дно </w:t>
                  </w:r>
                  <w:proofErr w:type="spellStart"/>
                  <w:r>
                    <w:t>шухляд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виготовляються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односторонньо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ХДФ </w:t>
                  </w:r>
                  <w:proofErr w:type="spellStart"/>
                  <w:r>
                    <w:t>білого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2,5 мм. </w:t>
                  </w:r>
                  <w:proofErr w:type="spellStart"/>
                  <w:r>
                    <w:t>Фурнітура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пластикові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меблеві</w:t>
                  </w:r>
                  <w:proofErr w:type="spellEnd"/>
                  <w:r>
                    <w:t xml:space="preserve"> ручки (</w:t>
                  </w:r>
                  <w:proofErr w:type="spellStart"/>
                  <w:r>
                    <w:t>чорні</w:t>
                  </w:r>
                  <w:proofErr w:type="spellEnd"/>
                  <w:r>
                    <w:t xml:space="preserve">), </w:t>
                  </w:r>
                  <w:proofErr w:type="spellStart"/>
                  <w:r>
                    <w:t>пластикові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меблеві</w:t>
                  </w:r>
                  <w:proofErr w:type="spellEnd"/>
                  <w:r>
                    <w:t xml:space="preserve"> опори (</w:t>
                  </w:r>
                  <w:proofErr w:type="spellStart"/>
                  <w:r>
                    <w:t>чорні</w:t>
                  </w:r>
                  <w:proofErr w:type="spellEnd"/>
                  <w:r>
                    <w:t xml:space="preserve">), </w:t>
                  </w:r>
                  <w:proofErr w:type="spellStart"/>
                  <w:r>
                    <w:t>мініфікси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єврогвинти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напрямні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кулькові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висуву</w:t>
                  </w:r>
                  <w:proofErr w:type="spellEnd"/>
                  <w:r>
                    <w:t>.</w:t>
                  </w:r>
                </w:p>
                <w:p w14:paraId="3939DEB0" w14:textId="77777777" w:rsidR="00264986" w:rsidRDefault="00264986" w:rsidP="0026498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7C20E8EA" w14:textId="77777777" w:rsidR="00264986" w:rsidRDefault="00264986" w:rsidP="00264986">
                  <w:pPr>
                    <w:pStyle w:val="ad"/>
                    <w:spacing w:before="0" w:beforeAutospacing="0" w:after="0" w:afterAutospacing="0"/>
                  </w:pPr>
                  <w:r>
                    <w:t xml:space="preserve">ЛДСП 18 мм (корпус, </w:t>
                  </w:r>
                  <w:proofErr w:type="spellStart"/>
                  <w:r>
                    <w:t>фасади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полиці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шухляди</w:t>
                  </w:r>
                  <w:proofErr w:type="spellEnd"/>
                  <w:r>
                    <w:t>)</w:t>
                  </w:r>
                </w:p>
                <w:p w14:paraId="15945731" w14:textId="77777777" w:rsidR="00264986" w:rsidRDefault="00264986" w:rsidP="00264986">
                  <w:pPr>
                    <w:pStyle w:val="ad"/>
                    <w:spacing w:before="0" w:beforeAutospacing="0" w:after="0" w:afterAutospacing="0"/>
                  </w:pPr>
                  <w:r>
                    <w:t xml:space="preserve">ХДФ 2,5 мм, </w:t>
                  </w:r>
                  <w:proofErr w:type="spellStart"/>
                  <w:r>
                    <w:t>одностороннє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ламінування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 xml:space="preserve">, дно </w:t>
                  </w:r>
                  <w:proofErr w:type="spellStart"/>
                  <w:r>
                    <w:t>шухляд</w:t>
                  </w:r>
                  <w:proofErr w:type="spellEnd"/>
                  <w:r>
                    <w:t>)</w:t>
                  </w:r>
                </w:p>
                <w:p w14:paraId="76E1A1C7" w14:textId="77777777" w:rsidR="00264986" w:rsidRDefault="00264986" w:rsidP="00264986">
                  <w:pPr>
                    <w:pStyle w:val="ad"/>
                    <w:spacing w:before="0" w:beforeAutospacing="0" w:after="0" w:afterAutospacing="0"/>
                  </w:pPr>
                  <w:r>
                    <w:t>Крайки: ПВХ 0,4 мм (корпус), ПВХ 0,8 мм (</w:t>
                  </w:r>
                  <w:proofErr w:type="spellStart"/>
                  <w:r>
                    <w:t>фасади</w:t>
                  </w:r>
                  <w:proofErr w:type="spellEnd"/>
                  <w:r>
                    <w:t>)</w:t>
                  </w:r>
                </w:p>
                <w:p w14:paraId="49084B39" w14:textId="77777777" w:rsidR="00264986" w:rsidRDefault="00264986" w:rsidP="0026498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Фурнітура</w:t>
                  </w:r>
                  <w:proofErr w:type="spellEnd"/>
                  <w:r>
                    <w:t>: метал (</w:t>
                  </w:r>
                  <w:proofErr w:type="spellStart"/>
                  <w:r>
                    <w:t>напрямні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кріплення</w:t>
                  </w:r>
                  <w:proofErr w:type="spellEnd"/>
                  <w:r>
                    <w:t>), пластик (ручки, опори)</w:t>
                  </w:r>
                </w:p>
                <w:p w14:paraId="5E3AB454" w14:textId="77777777" w:rsidR="00264986" w:rsidRDefault="00264986" w:rsidP="0026498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  <w:r>
                    <w:t xml:space="preserve"> ДСП-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доступне</w:t>
                  </w:r>
                  <w:proofErr w:type="spellEnd"/>
                  <w:r>
                    <w:t xml:space="preserve"> в таких </w:t>
                  </w:r>
                  <w:proofErr w:type="spellStart"/>
                  <w:r>
                    <w:t>кольорах</w:t>
                  </w:r>
                  <w:proofErr w:type="spellEnd"/>
                  <w:r>
                    <w:t xml:space="preserve">: – корпус — бук </w:t>
                  </w:r>
                  <w:proofErr w:type="spellStart"/>
                  <w:r>
                    <w:t>артізан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перламутровий</w:t>
                  </w:r>
                  <w:proofErr w:type="spellEnd"/>
                  <w:r>
                    <w:t xml:space="preserve"> – фасад — дуб </w:t>
                  </w:r>
                  <w:proofErr w:type="spellStart"/>
                  <w:r>
                    <w:t>урбан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кавовий</w:t>
                  </w:r>
                  <w:proofErr w:type="spellEnd"/>
                </w:p>
                <w:p w14:paraId="0D24E691" w14:textId="77777777" w:rsidR="00264986" w:rsidRDefault="00264986" w:rsidP="00264986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стабільну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геометрію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витримувати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експлуатаційні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навантаження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Всі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мають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рівними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подряпин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здуттів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тріщин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відшарувань</w:t>
                  </w:r>
                  <w:proofErr w:type="spellEnd"/>
                  <w:r>
                    <w:t xml:space="preserve">. Крайки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надійно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приклеєні</w:t>
                  </w:r>
                  <w:proofErr w:type="spellEnd"/>
                  <w:r>
                    <w:t xml:space="preserve">, без </w:t>
                  </w:r>
                  <w:proofErr w:type="spellStart"/>
                  <w:r>
                    <w:t>зазорів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Шухляди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напрямних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висуву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вільно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відкриватися</w:t>
                  </w:r>
                  <w:proofErr w:type="spellEnd"/>
                  <w:r>
                    <w:t xml:space="preserve"> та не </w:t>
                  </w:r>
                  <w:proofErr w:type="spellStart"/>
                  <w:r>
                    <w:t>заклинюватися</w:t>
                  </w:r>
                  <w:proofErr w:type="spellEnd"/>
                  <w:r>
                    <w:t xml:space="preserve">. Опори </w:t>
                  </w:r>
                  <w:proofErr w:type="spellStart"/>
                  <w:r>
                    <w:t>мають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забезпечувати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надійне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встановлення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без </w:t>
                  </w:r>
                  <w:proofErr w:type="spellStart"/>
                  <w:r>
                    <w:t>розхитувань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технічному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чинним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державним</w:t>
                  </w:r>
                  <w:proofErr w:type="spellEnd"/>
                  <w:r>
                    <w:t xml:space="preserve"> стандартам і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нормам. </w:t>
                  </w:r>
                  <w:proofErr w:type="spellStart"/>
                  <w:r>
                    <w:t>Замовник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  <w:r>
                    <w:t>.</w:t>
                  </w:r>
                </w:p>
                <w:p w14:paraId="5E69B79C" w14:textId="7AC320E7" w:rsidR="00264986" w:rsidRDefault="00264986" w:rsidP="0026498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10824"/>
    <w:rsid w:val="0012431D"/>
    <w:rsid w:val="00133569"/>
    <w:rsid w:val="00142C34"/>
    <w:rsid w:val="0014717E"/>
    <w:rsid w:val="00151D5E"/>
    <w:rsid w:val="001525AD"/>
    <w:rsid w:val="00153244"/>
    <w:rsid w:val="00153BA3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64986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0BC6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43A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0125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Cергей</cp:lastModifiedBy>
  <cp:revision>2</cp:revision>
  <cp:lastPrinted>2025-04-10T13:45:00Z</cp:lastPrinted>
  <dcterms:created xsi:type="dcterms:W3CDTF">2025-07-03T07:18:00Z</dcterms:created>
  <dcterms:modified xsi:type="dcterms:W3CDTF">2025-07-03T07:18:00Z</dcterms:modified>
</cp:coreProperties>
</file>